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1" w:rsidRDefault="00D74C45" w:rsidP="00D02D5D">
      <w:pPr>
        <w:spacing w:after="0"/>
        <w:jc w:val="center"/>
        <w:rPr>
          <w:b/>
        </w:rPr>
      </w:pPr>
      <w:r>
        <w:rPr>
          <w:b/>
        </w:rPr>
        <w:t>Általános tájékoztató</w:t>
      </w:r>
    </w:p>
    <w:p w:rsidR="00D02D5D" w:rsidRPr="00D02D5D" w:rsidRDefault="00D02D5D" w:rsidP="00D02D5D">
      <w:pPr>
        <w:spacing w:after="0"/>
        <w:jc w:val="center"/>
        <w:rPr>
          <w:b/>
        </w:rPr>
      </w:pPr>
    </w:p>
    <w:p w:rsidR="00D02D5D" w:rsidRPr="00D02D5D" w:rsidRDefault="00D74C45" w:rsidP="00D02D5D">
      <w:pPr>
        <w:spacing w:after="0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utazási vállalkozó által a BFKH felé igazolt 2021. évi vagyoni biztosítékoz kapcsolódó kiegészítő adatszolgáltatási kötelezettségről</w:t>
      </w:r>
    </w:p>
    <w:p w:rsidR="00D02D5D" w:rsidRDefault="00D02D5D" w:rsidP="00D02D5D">
      <w:pPr>
        <w:spacing w:after="0"/>
      </w:pPr>
    </w:p>
    <w:p w:rsidR="00925024" w:rsidRDefault="00925024" w:rsidP="00D02D5D">
      <w:pPr>
        <w:spacing w:after="0"/>
      </w:pPr>
    </w:p>
    <w:p w:rsidR="00D74C45" w:rsidRPr="00925024" w:rsidRDefault="00D74C45" w:rsidP="00925024">
      <w:pPr>
        <w:spacing w:after="0"/>
        <w:rPr>
          <w:b/>
        </w:rPr>
      </w:pPr>
      <w:r w:rsidRPr="00925024">
        <w:rPr>
          <w:b/>
        </w:rPr>
        <w:t>Tisztelt Utazási Vállalkozó!</w:t>
      </w:r>
    </w:p>
    <w:p w:rsidR="00D74C45" w:rsidRDefault="00D74C45" w:rsidP="00D02D5D">
      <w:pPr>
        <w:spacing w:after="0"/>
      </w:pPr>
    </w:p>
    <w:p w:rsidR="00925024" w:rsidRDefault="00925024" w:rsidP="00925024">
      <w:pPr>
        <w:spacing w:after="0"/>
        <w:jc w:val="both"/>
      </w:pPr>
    </w:p>
    <w:p w:rsidR="00D74C45" w:rsidRDefault="00D74C45" w:rsidP="00925024">
      <w:pPr>
        <w:spacing w:after="0"/>
        <w:jc w:val="both"/>
      </w:pPr>
      <w:r>
        <w:t>Magyarország Kormánya az utazási vállalkozók 2021. évre vonatkozó vagyoni biztosíték kötelezettségének különös szabályairól szóló 470/2020. (X.29.) Korm. rendeletével (a továbbiakban: R.) valamennyi, már 2019. december 31. napján is működő</w:t>
      </w:r>
      <w:r w:rsidR="00925024">
        <w:t>,</w:t>
      </w:r>
      <w:r>
        <w:t xml:space="preserve"> a hatósági nyilvántartásunkban is szereplő </w:t>
      </w:r>
      <w:proofErr w:type="gramStart"/>
      <w:r>
        <w:t>utazásszervezői</w:t>
      </w:r>
      <w:proofErr w:type="gramEnd"/>
      <w:r>
        <w:t xml:space="preserve"> ill. utazási </w:t>
      </w:r>
      <w:proofErr w:type="spellStart"/>
      <w:r>
        <w:t>szolgáltatásegyüttes</w:t>
      </w:r>
      <w:proofErr w:type="spellEnd"/>
      <w:r>
        <w:t xml:space="preserve"> igénybevételét elősegítő kereskedelmi tevékenységet folytató vállalkozó kapcsán </w:t>
      </w:r>
      <w:r w:rsidR="00925024">
        <w:t>speciális</w:t>
      </w:r>
      <w:r>
        <w:t xml:space="preserve"> rendelkezéseket hozo</w:t>
      </w:r>
      <w:r w:rsidR="00925024">
        <w:t>t</w:t>
      </w:r>
      <w:r>
        <w:t>t a 2021. évre igazolandó vagyoni biztosítékkal összefüggésben.</w:t>
      </w:r>
    </w:p>
    <w:p w:rsidR="00925024" w:rsidRDefault="00925024" w:rsidP="00925024">
      <w:pPr>
        <w:spacing w:after="0"/>
        <w:jc w:val="both"/>
      </w:pPr>
    </w:p>
    <w:p w:rsidR="00D74C45" w:rsidRDefault="00D74C45" w:rsidP="00925024">
      <w:pPr>
        <w:spacing w:after="0"/>
        <w:jc w:val="both"/>
      </w:pPr>
      <w:r>
        <w:t xml:space="preserve">A R. </w:t>
      </w:r>
      <w:proofErr w:type="gramStart"/>
      <w:r>
        <w:t>előírásai</w:t>
      </w:r>
      <w:proofErr w:type="gramEnd"/>
      <w:r>
        <w:t xml:space="preserve"> szerint, a R. 3. § (2) bekezdésében meghatározott feltételek fennállása esetében az utazási vállalkozónak lehetősége volt arra, hogy 2021. évre vonatkozó vagyoni biztosítékának mértékét akár 50 %-os mértékkel is csökkentse (továbbiakban csökkentett vagyoni biztosíték). A csökkentett vagyoni biztosíték igazolásának lehetősége mellett, az ezzel a lehetőséggel élő utazási vállalkozók számára a R. 4. §</w:t>
      </w:r>
      <w:proofErr w:type="spellStart"/>
      <w:r>
        <w:t>-a</w:t>
      </w:r>
      <w:proofErr w:type="spellEnd"/>
      <w:r>
        <w:t xml:space="preserve"> további különös szabályokat állapított meg, melyek tudomásul vételéről kereskedelmi hatóságunk felé a 2020. november 15-i határidővel teljesítendő adatlapon (ADATLAP 2. megnevezésű dokumentum) szereplő nyilatkozat aláírásával az utazási vállalkozó is nyilatkozott.</w:t>
      </w:r>
    </w:p>
    <w:p w:rsidR="00925024" w:rsidRDefault="00925024" w:rsidP="00925024">
      <w:pPr>
        <w:spacing w:after="0"/>
        <w:jc w:val="both"/>
      </w:pPr>
    </w:p>
    <w:p w:rsidR="00816594" w:rsidRDefault="00D74C45" w:rsidP="00925024">
      <w:pPr>
        <w:spacing w:after="0"/>
        <w:jc w:val="both"/>
      </w:pPr>
      <w:r>
        <w:t xml:space="preserve">A kapcsolódó és tudomásul vett </w:t>
      </w:r>
      <w:r w:rsidR="00816594">
        <w:t>kötelezettségeket a vonatkozó nyilatkozat egyértelműen megjelöli. Ezek röviden az alábbiak:</w:t>
      </w:r>
    </w:p>
    <w:p w:rsidR="00925024" w:rsidRDefault="00925024" w:rsidP="00925024">
      <w:pPr>
        <w:spacing w:after="0"/>
        <w:jc w:val="both"/>
      </w:pPr>
    </w:p>
    <w:p w:rsidR="00816594" w:rsidRDefault="00816594" w:rsidP="00925024">
      <w:pPr>
        <w:pStyle w:val="Listaszerbekezds"/>
        <w:numPr>
          <w:ilvl w:val="0"/>
          <w:numId w:val="4"/>
        </w:numPr>
        <w:spacing w:after="0"/>
        <w:jc w:val="both"/>
      </w:pPr>
      <w:r>
        <w:t>A 213/1996. (XII.23. Korm. rendelet 8. § (9) bekezdése szerinti kötelezettség során, azaz a 2021. évi vagyoni biztosíték mértéke megfelelőségének folyamatos nyomon követése kapcsán az utazási vállalkozó a saját szervezésű utazási csomagjaira befizetett előlegek és részvételi díjakat az általa kibocsátott utalványok értékével együttesen köteles figyelembe venni</w:t>
      </w:r>
      <w:r w:rsidR="00925024">
        <w:t>.</w:t>
      </w:r>
    </w:p>
    <w:p w:rsidR="00816594" w:rsidRDefault="00816594" w:rsidP="00925024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2021. év első negyedévének végétől három hónapon keresztül </w:t>
      </w:r>
      <w:r w:rsidR="0000606F">
        <w:t>(március 31</w:t>
      </w:r>
      <w:proofErr w:type="gramStart"/>
      <w:r w:rsidR="0000606F">
        <w:t>.,</w:t>
      </w:r>
      <w:proofErr w:type="gramEnd"/>
      <w:r w:rsidR="0000606F">
        <w:t xml:space="preserve"> április 31. és május 31.) </w:t>
      </w:r>
      <w:r>
        <w:t>folyamatosan adatot szolgáltat a kereskedelmi hatóságunk felé az utazási utalványainak és a saját szervezésű utazási csomagjaira befizetett előlegek</w:t>
      </w:r>
      <w:r w:rsidR="0000606F">
        <w:t>nek</w:t>
      </w:r>
      <w:r>
        <w:t xml:space="preserve"> és részvételi díjak</w:t>
      </w:r>
      <w:r w:rsidR="0000606F">
        <w:t>nak az</w:t>
      </w:r>
      <w:r>
        <w:t xml:space="preserve"> aktuális állományáról.</w:t>
      </w:r>
    </w:p>
    <w:p w:rsidR="00816594" w:rsidRDefault="00816594" w:rsidP="00925024">
      <w:pPr>
        <w:spacing w:after="0"/>
        <w:jc w:val="both"/>
      </w:pPr>
    </w:p>
    <w:p w:rsidR="00816594" w:rsidRDefault="00816594" w:rsidP="00925024">
      <w:pPr>
        <w:spacing w:after="0"/>
        <w:jc w:val="both"/>
      </w:pPr>
      <w:r>
        <w:lastRenderedPageBreak/>
        <w:t>Jelen tájékoztatásunk a II. pontban hivatkozott adatszolgáltatási kötelezettség megfelelő teljesítésére vonatkozó fontos információkat tartalmaz, melyek az alábbiak:</w:t>
      </w:r>
    </w:p>
    <w:p w:rsidR="00816594" w:rsidRDefault="00816594" w:rsidP="00925024">
      <w:pPr>
        <w:spacing w:after="0"/>
        <w:jc w:val="both"/>
      </w:pPr>
    </w:p>
    <w:p w:rsidR="00816594" w:rsidRDefault="00816594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>A vonatkozó adatokat 3 hónapon keresztül kell szolgáltatni az alábbi időpontok szerint:</w:t>
      </w:r>
    </w:p>
    <w:p w:rsidR="00816594" w:rsidRDefault="00816594" w:rsidP="00925024">
      <w:pPr>
        <w:pStyle w:val="Listaszerbekezds"/>
        <w:numPr>
          <w:ilvl w:val="1"/>
          <w:numId w:val="5"/>
        </w:numPr>
        <w:spacing w:after="0"/>
        <w:jc w:val="both"/>
      </w:pPr>
      <w:r w:rsidRPr="0000606F">
        <w:rPr>
          <w:b/>
          <w:u w:val="single"/>
        </w:rPr>
        <w:t>első adatszolgáltatás</w:t>
      </w:r>
      <w:r>
        <w:t xml:space="preserve"> 2021. március 31. napi állapotot </w:t>
      </w:r>
      <w:proofErr w:type="gramStart"/>
      <w:r>
        <w:t>kell</w:t>
      </w:r>
      <w:proofErr w:type="gramEnd"/>
      <w:r>
        <w:t xml:space="preserve"> tükrözzön, </w:t>
      </w:r>
      <w:r w:rsidR="00EA1DE4">
        <w:t xml:space="preserve">megküldésére az irányadó szabályok szerint </w:t>
      </w:r>
      <w:r w:rsidR="00EA1DE4" w:rsidRPr="0000606F">
        <w:rPr>
          <w:u w:val="single"/>
        </w:rPr>
        <w:t>2021. március 31. és 2021. április 7. között</w:t>
      </w:r>
      <w:r w:rsidR="00EA1DE4">
        <w:t xml:space="preserve"> van lehetőség</w:t>
      </w:r>
    </w:p>
    <w:p w:rsidR="00EA1DE4" w:rsidRDefault="00EA1DE4" w:rsidP="00925024">
      <w:pPr>
        <w:pStyle w:val="Listaszerbekezds"/>
        <w:numPr>
          <w:ilvl w:val="1"/>
          <w:numId w:val="5"/>
        </w:numPr>
        <w:spacing w:after="0"/>
        <w:jc w:val="both"/>
      </w:pPr>
      <w:r w:rsidRPr="0000606F">
        <w:rPr>
          <w:b/>
          <w:u w:val="single"/>
        </w:rPr>
        <w:t>a második adatszolgáltatás</w:t>
      </w:r>
      <w:r>
        <w:t xml:space="preserve"> 2021. április 30. napi állapotot </w:t>
      </w:r>
      <w:proofErr w:type="gramStart"/>
      <w:r>
        <w:t>kell</w:t>
      </w:r>
      <w:proofErr w:type="gramEnd"/>
      <w:r>
        <w:t xml:space="preserve"> tükrözzön, megküldésére az irányadó szabályok szerint </w:t>
      </w:r>
      <w:r w:rsidRPr="0000606F">
        <w:rPr>
          <w:u w:val="single"/>
        </w:rPr>
        <w:t>2021. április 30. és , 2021. május 5. között</w:t>
      </w:r>
      <w:r>
        <w:t xml:space="preserve"> van lehetőség</w:t>
      </w:r>
    </w:p>
    <w:p w:rsidR="00EA1DE4" w:rsidRDefault="00EA1DE4" w:rsidP="00925024">
      <w:pPr>
        <w:pStyle w:val="Listaszerbekezds"/>
        <w:numPr>
          <w:ilvl w:val="1"/>
          <w:numId w:val="5"/>
        </w:numPr>
        <w:spacing w:after="0"/>
        <w:jc w:val="both"/>
      </w:pPr>
      <w:r w:rsidRPr="0000606F">
        <w:rPr>
          <w:b/>
          <w:u w:val="single"/>
        </w:rPr>
        <w:t>a harmadik adatszolgáltatás</w:t>
      </w:r>
      <w:r>
        <w:t xml:space="preserve"> 2021. május 31. napi állapotot </w:t>
      </w:r>
      <w:proofErr w:type="gramStart"/>
      <w:r>
        <w:t>kell</w:t>
      </w:r>
      <w:proofErr w:type="gramEnd"/>
      <w:r>
        <w:t xml:space="preserve"> tükrözzön, megküldésére az irányadó szabályok szerint </w:t>
      </w:r>
      <w:r w:rsidRPr="0000606F">
        <w:rPr>
          <w:u w:val="single"/>
        </w:rPr>
        <w:t>2021. május 31. és 2021. június 3. között</w:t>
      </w:r>
      <w:r>
        <w:t xml:space="preserve"> van lehetőség</w:t>
      </w:r>
    </w:p>
    <w:p w:rsidR="00EA1DE4" w:rsidRDefault="00EA1DE4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>Az adatszolgáltatáshoz Adatlapot rendszeresítettünk, mely mindhárom időszak vonatkozásában használható az adatszolgáltatás időpontjának megjelölésével</w:t>
      </w:r>
    </w:p>
    <w:p w:rsidR="00EA1DE4" w:rsidRDefault="00EA1DE4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 xml:space="preserve">Az adatszolgáltatás email útján megküldhető az </w:t>
      </w:r>
      <w:hyperlink r:id="rId7" w:history="1">
        <w:r w:rsidRPr="00F3716D">
          <w:rPr>
            <w:rStyle w:val="Hiperhivatkozs"/>
          </w:rPr>
          <w:t>adatszolgaltatas@bfkh.gov.hu</w:t>
        </w:r>
      </w:hyperlink>
      <w:r>
        <w:t xml:space="preserve"> email címre</w:t>
      </w:r>
    </w:p>
    <w:p w:rsidR="00EA1DE4" w:rsidRDefault="00EA1DE4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>Az adatszolgáltatást az 1. pont a)</w:t>
      </w:r>
      <w:proofErr w:type="spellStart"/>
      <w:r>
        <w:t>-c</w:t>
      </w:r>
      <w:proofErr w:type="spellEnd"/>
      <w:r>
        <w:t>) pontjaiban jelzett időintervallum</w:t>
      </w:r>
      <w:r w:rsidR="0000606F">
        <w:t>on belül</w:t>
      </w:r>
      <w:r>
        <w:t xml:space="preserve"> kell teljesíteni. Értelemszerűen nem lehet megfelelő egy, a jelzett intervallumnál korábban tett adatszolgáltatás, mert az nem tükrözhet egy későbbi esedékességű időpontra vonatkozó </w:t>
      </w:r>
      <w:r w:rsidR="0000606F">
        <w:t xml:space="preserve">aktuális </w:t>
      </w:r>
      <w:r>
        <w:t>adatot (pl. 2021. április 20</w:t>
      </w:r>
      <w:r w:rsidR="0000606F">
        <w:t>.</w:t>
      </w:r>
      <w:r>
        <w:t xml:space="preserve"> napján nem lehet adatot s</w:t>
      </w:r>
      <w:r w:rsidR="0000606F">
        <w:t>zolgáltatni egy 2021. április 30</w:t>
      </w:r>
      <w:r>
        <w:t>. napi állapotról).</w:t>
      </w:r>
    </w:p>
    <w:p w:rsidR="00EA1DE4" w:rsidRDefault="00EA1DE4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>Az adatszolgáltatás késedelmes teljesítése kapcsán kereskedelmi hatóságunknak a R. 5. §</w:t>
      </w:r>
      <w:proofErr w:type="spellStart"/>
      <w:r>
        <w:t>-a</w:t>
      </w:r>
      <w:proofErr w:type="spellEnd"/>
      <w:r>
        <w:t xml:space="preserve"> szerint kell eljárnia és bizonyos helyzetben jogkövetkezményeket kell alkalmaznia, ezért kérjük, hogy amennyiben a szűk intervallumon belül nem, csak azt követő pár napon belül lett lehetősége az adatszolgáltatást teljesíteni, úgy az email megküldésekor röviden az akadályoztatás okát is jelölje meg részünkre.</w:t>
      </w:r>
    </w:p>
    <w:p w:rsidR="00074E2B" w:rsidRDefault="0000606F" w:rsidP="00925024">
      <w:pPr>
        <w:pStyle w:val="Listaszerbekezds"/>
        <w:numPr>
          <w:ilvl w:val="0"/>
          <w:numId w:val="5"/>
        </w:numPr>
        <w:spacing w:after="0"/>
        <w:jc w:val="both"/>
      </w:pPr>
      <w:r>
        <w:t>Fontos kiemelni, hogy a 3 db adatszolgáltatás megfelelő és határidőben történő teljesítése esetén az utazási vállalkozót nem terheli a korábbi években megszokott azon adatszolgáltatás, melyet minden év május 31. napjáig kell, kellett teljesíteni</w:t>
      </w:r>
      <w:r w:rsidR="00074E2B">
        <w:t xml:space="preserve"> a 213/1996. (XII.23.) Korm. rendelet 8. § (6) és (7) bekezdésével összefüggésben</w:t>
      </w:r>
      <w:r>
        <w:t xml:space="preserve">. </w:t>
      </w:r>
    </w:p>
    <w:p w:rsidR="00EA1DE4" w:rsidRDefault="0000606F" w:rsidP="00074E2B">
      <w:pPr>
        <w:pStyle w:val="Listaszerbekezds"/>
        <w:spacing w:after="0"/>
        <w:jc w:val="both"/>
      </w:pPr>
      <w:r>
        <w:t xml:space="preserve">Tekintve, hogy jelen tájékoztatásunk tárgyát képező 3 db adatszolgáltatási időszak közül a 3. időpontja az előbb említett és május 31. napjáig teljesítendő adatszolgáltatás teljesítését követő napokra datálódik, kereskedelmi hatóságunk az első két adatszolgáltatást megfelelően és határidőben teljesítő utazási vállalkozók kapcsán vélelmezni fogja a május 31 és június 3. közötti harmadik adatszolgáltatás </w:t>
      </w:r>
      <w:r w:rsidR="00807591">
        <w:t xml:space="preserve">megfelelő </w:t>
      </w:r>
      <w:r>
        <w:t>teljesítését is és semmilyen jogkövetkezményt nem fog alkalmazni a 213/1996. (XII.23.) Korm. rendelet 8. § (6) és (7) bekezdésében említett</w:t>
      </w:r>
      <w:r w:rsidR="00807591">
        <w:t xml:space="preserve">, a korábbiakban megszokott május </w:t>
      </w:r>
      <w:proofErr w:type="gramStart"/>
      <w:r w:rsidR="00807591">
        <w:t>31-i esedékességű</w:t>
      </w:r>
      <w:proofErr w:type="gramEnd"/>
      <w:r w:rsidR="00807591">
        <w:t xml:space="preserve"> adatszolgáltatás elmaradása kapcsán.</w:t>
      </w:r>
    </w:p>
    <w:p w:rsidR="00E162D4" w:rsidRDefault="00E162D4" w:rsidP="00EF4BA4">
      <w:pPr>
        <w:spacing w:after="0" w:line="240" w:lineRule="auto"/>
        <w:jc w:val="both"/>
      </w:pPr>
    </w:p>
    <w:p w:rsidR="00332FDD" w:rsidRPr="00E162D4" w:rsidRDefault="00807591" w:rsidP="00332FDD">
      <w:pPr>
        <w:spacing w:after="0" w:line="240" w:lineRule="auto"/>
        <w:jc w:val="both"/>
        <w:rPr>
          <w:b/>
        </w:rPr>
      </w:pPr>
      <w:r>
        <w:rPr>
          <w:b/>
        </w:rPr>
        <w:t>Előzetesen is k</w:t>
      </w:r>
      <w:r w:rsidR="00E162D4" w:rsidRPr="00E162D4">
        <w:rPr>
          <w:b/>
        </w:rPr>
        <w:t>öszönjük</w:t>
      </w:r>
      <w:r>
        <w:rPr>
          <w:b/>
        </w:rPr>
        <w:t xml:space="preserve"> az adatszolgáltatások megfelelő teljesítésével kapcsolatos együttműködését!</w:t>
      </w:r>
    </w:p>
    <w:sectPr w:rsidR="00332FDD" w:rsidRPr="00E162D4" w:rsidSect="00CC60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07" w:rsidRDefault="009C5D07" w:rsidP="00CC606E">
      <w:pPr>
        <w:spacing w:after="0" w:line="240" w:lineRule="auto"/>
      </w:pPr>
      <w:r>
        <w:separator/>
      </w:r>
    </w:p>
  </w:endnote>
  <w:endnote w:type="continuationSeparator" w:id="0">
    <w:p w:rsidR="009C5D07" w:rsidRDefault="009C5D07" w:rsidP="00CC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4A0"/>
    </w:tblPr>
    <w:tblGrid>
      <w:gridCol w:w="250"/>
      <w:gridCol w:w="9072"/>
    </w:tblGrid>
    <w:tr w:rsidR="00CC606E" w:rsidRPr="00C27FD4" w:rsidTr="00D04D1D">
      <w:tc>
        <w:tcPr>
          <w:tcW w:w="250" w:type="dxa"/>
        </w:tcPr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</w:rPr>
          </w:pPr>
        </w:p>
      </w:tc>
      <w:tc>
        <w:tcPr>
          <w:tcW w:w="9072" w:type="dxa"/>
          <w:vAlign w:val="center"/>
        </w:tcPr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b/>
              <w:noProof/>
              <w:color w:val="000000"/>
              <w:spacing w:val="2"/>
              <w:sz w:val="16"/>
              <w:szCs w:val="16"/>
            </w:rPr>
          </w:pP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  <w:t>Kereskedelmi, Haditechnikai, Exportellenőrzési és Nemesfémhitelesítési Főosztály</w:t>
          </w:r>
          <w:r w:rsidRPr="000E4588"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  <w:br/>
            <w:t>Idegenforgalmi és Közraktározás-felügyeleti Osztály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1124 Budapest, Németvölgyi út 37-39. –1535 Budapest, BKKP Pf. 919/1 – Telefon: +36(1)4585-800 – Fax: </w:t>
          </w:r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>+36(1)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4585-847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noProof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KÉR-azonosító: KHIV BUK </w:t>
          </w:r>
          <w:r w:rsidR="00807591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KHENF</w:t>
          </w:r>
          <w:r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 IKF</w:t>
          </w:r>
          <w:r w:rsidR="00486565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O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; Webes hkp. KRID: (MKEH) </w:t>
          </w:r>
          <w:r w:rsidRPr="000E4588">
            <w:rPr>
              <w:rFonts w:ascii="Helvetica" w:hAnsi="Helvetica" w:cs="Verdana"/>
              <w:sz w:val="16"/>
              <w:szCs w:val="16"/>
              <w:lang w:eastAsia="hu-HU"/>
            </w:rPr>
            <w:t>508149355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szCs w:val="16"/>
            </w:rPr>
          </w:pPr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 xml:space="preserve">E-mail: </w:t>
          </w:r>
          <w:hyperlink r:id="rId1" w:history="1">
            <w:r w:rsidRPr="000E4588">
              <w:rPr>
                <w:rStyle w:val="Hiperhivatkozs"/>
                <w:rFonts w:ascii="Helvetica" w:hAnsi="Helvetica" w:cs="Arial"/>
                <w:noProof/>
                <w:spacing w:val="2"/>
                <w:sz w:val="16"/>
                <w:szCs w:val="16"/>
              </w:rPr>
              <w:t>idegenforgalmi@bfkh.gov.hu</w:t>
            </w:r>
          </w:hyperlink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 xml:space="preserve"> - 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Honlap: </w:t>
          </w:r>
          <w:hyperlink r:id="rId2" w:history="1">
            <w:r w:rsidRPr="000E4588">
              <w:rPr>
                <w:rStyle w:val="Hiperhivatkozs"/>
                <w:rFonts w:ascii="Helvetica" w:hAnsi="Helvetica" w:cs="Arial"/>
                <w:noProof/>
                <w:spacing w:val="2"/>
                <w:sz w:val="16"/>
                <w:szCs w:val="16"/>
              </w:rPr>
              <w:t>www.kormanyhivatal.hu</w:t>
            </w:r>
          </w:hyperlink>
          <w:r w:rsidRPr="000E4588">
            <w:rPr>
              <w:rFonts w:ascii="Helvetica" w:hAnsi="Helvetica"/>
            </w:rPr>
            <w:t xml:space="preserve"> </w:t>
          </w:r>
          <w:hyperlink r:id="rId3" w:history="1">
            <w:r w:rsidRPr="000E4588">
              <w:rPr>
                <w:rStyle w:val="Hiperhivatkozs"/>
                <w:rFonts w:ascii="Helvetica" w:hAnsi="Helvetica"/>
                <w:sz w:val="16"/>
                <w:szCs w:val="16"/>
              </w:rPr>
              <w:t>www.mkeh.gov.hu</w:t>
            </w:r>
          </w:hyperlink>
        </w:p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color w:val="808080"/>
              <w:sz w:val="20"/>
              <w:szCs w:val="16"/>
            </w:rPr>
          </w:pPr>
        </w:p>
      </w:tc>
    </w:tr>
  </w:tbl>
  <w:p w:rsidR="00CC606E" w:rsidRDefault="00CC606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4A0"/>
    </w:tblPr>
    <w:tblGrid>
      <w:gridCol w:w="250"/>
      <w:gridCol w:w="9072"/>
    </w:tblGrid>
    <w:tr w:rsidR="00CC606E" w:rsidRPr="00C27FD4" w:rsidTr="00D04D1D">
      <w:tc>
        <w:tcPr>
          <w:tcW w:w="250" w:type="dxa"/>
        </w:tcPr>
        <w:p w:rsidR="00CC606E" w:rsidRPr="00C27FD4" w:rsidRDefault="00CC606E" w:rsidP="009B3059">
          <w:pPr>
            <w:spacing w:after="0" w:line="240" w:lineRule="auto"/>
            <w:rPr>
              <w:rFonts w:ascii="H-Helvetica Thin" w:hAnsi="H-Helvetica Thin" w:cs="Arial"/>
              <w:noProof/>
              <w:color w:val="808080"/>
              <w:spacing w:val="2"/>
              <w:sz w:val="16"/>
              <w:szCs w:val="16"/>
            </w:rPr>
          </w:pPr>
        </w:p>
      </w:tc>
      <w:tc>
        <w:tcPr>
          <w:tcW w:w="9072" w:type="dxa"/>
          <w:vAlign w:val="center"/>
        </w:tcPr>
        <w:p w:rsidR="00CC606E" w:rsidRPr="00C27FD4" w:rsidRDefault="00CC606E" w:rsidP="009B3059">
          <w:pPr>
            <w:spacing w:after="0" w:line="240" w:lineRule="auto"/>
            <w:jc w:val="center"/>
            <w:rPr>
              <w:rFonts w:ascii="H-Helvetica Thin" w:hAnsi="H-Helvetica Thin" w:cs="Arial"/>
              <w:b/>
              <w:noProof/>
              <w:color w:val="000000"/>
              <w:spacing w:val="2"/>
              <w:sz w:val="16"/>
              <w:szCs w:val="16"/>
            </w:rPr>
          </w:pP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  <w:t>Kereskedelmi, Haditechnikai, Exportellenőrzési és Nemesfémhitelesítési Főosztály</w:t>
          </w:r>
          <w:r w:rsidRPr="000E4588">
            <w:rPr>
              <w:rFonts w:ascii="Helvetica" w:hAnsi="Helvetica" w:cs="Arial"/>
              <w:b/>
              <w:noProof/>
              <w:color w:val="000000"/>
              <w:spacing w:val="2"/>
              <w:sz w:val="16"/>
              <w:szCs w:val="16"/>
            </w:rPr>
            <w:br/>
            <w:t>Idegenforgalmi és Közraktározás-felügyeleti Osztály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1124 Budapest, Németvölgyi út 37-39. –1535 Budapest, BKKP Pf. 919/1</w:t>
          </w:r>
          <w:bookmarkStart w:id="0" w:name="_GoBack"/>
          <w:bookmarkEnd w:id="0"/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 – Telefon: +36(1)4585-800 – Fax: </w:t>
          </w:r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>+36(1)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4585-847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noProof/>
              <w:spacing w:val="2"/>
              <w:sz w:val="16"/>
              <w:szCs w:val="16"/>
            </w:rPr>
          </w:pP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KÉR-azonosító: KHIV BUK </w:t>
          </w:r>
          <w:r w:rsidR="00807591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KHENF</w:t>
          </w:r>
          <w:r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 IKF</w:t>
          </w:r>
          <w:r w:rsidR="00486565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>O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; Webes hkp. KRID: (MKEH) </w:t>
          </w:r>
          <w:r w:rsidRPr="000E4588">
            <w:rPr>
              <w:rFonts w:ascii="Helvetica" w:hAnsi="Helvetica" w:cs="Verdana"/>
              <w:sz w:val="16"/>
              <w:szCs w:val="16"/>
              <w:lang w:eastAsia="hu-HU"/>
            </w:rPr>
            <w:t>508149355</w:t>
          </w:r>
        </w:p>
        <w:p w:rsidR="00D04D1D" w:rsidRPr="000E4588" w:rsidRDefault="00D04D1D" w:rsidP="00D04D1D">
          <w:pPr>
            <w:spacing w:after="0" w:line="240" w:lineRule="auto"/>
            <w:ind w:left="-250"/>
            <w:jc w:val="center"/>
            <w:rPr>
              <w:rFonts w:ascii="Helvetica" w:hAnsi="Helvetica" w:cs="Arial"/>
              <w:szCs w:val="16"/>
            </w:rPr>
          </w:pPr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 xml:space="preserve">E-mail: </w:t>
          </w:r>
          <w:hyperlink r:id="rId1" w:history="1">
            <w:r w:rsidRPr="000E4588">
              <w:rPr>
                <w:rStyle w:val="Hiperhivatkozs"/>
                <w:rFonts w:ascii="Helvetica" w:hAnsi="Helvetica" w:cs="Arial"/>
                <w:noProof/>
                <w:spacing w:val="2"/>
                <w:sz w:val="16"/>
                <w:szCs w:val="16"/>
              </w:rPr>
              <w:t>idegenforgalmi@bfkh.gov.hu</w:t>
            </w:r>
          </w:hyperlink>
          <w:r w:rsidRPr="000E4588">
            <w:rPr>
              <w:rFonts w:ascii="Helvetica" w:hAnsi="Helvetica" w:cs="Arial"/>
              <w:noProof/>
              <w:spacing w:val="2"/>
              <w:sz w:val="16"/>
              <w:szCs w:val="16"/>
            </w:rPr>
            <w:t xml:space="preserve"> - </w:t>
          </w:r>
          <w:r w:rsidRPr="000E4588">
            <w:rPr>
              <w:rFonts w:ascii="Helvetica" w:hAnsi="Helvetica" w:cs="Arial"/>
              <w:noProof/>
              <w:color w:val="000000"/>
              <w:spacing w:val="2"/>
              <w:sz w:val="16"/>
              <w:szCs w:val="16"/>
            </w:rPr>
            <w:t xml:space="preserve">Honlap: </w:t>
          </w:r>
          <w:hyperlink r:id="rId2" w:history="1">
            <w:r w:rsidRPr="000E4588">
              <w:rPr>
                <w:rStyle w:val="Hiperhivatkozs"/>
                <w:rFonts w:ascii="Helvetica" w:hAnsi="Helvetica" w:cs="Arial"/>
                <w:noProof/>
                <w:spacing w:val="2"/>
                <w:sz w:val="16"/>
                <w:szCs w:val="16"/>
              </w:rPr>
              <w:t>www.kormanyhivatal.hu</w:t>
            </w:r>
          </w:hyperlink>
          <w:r w:rsidRPr="000E4588">
            <w:rPr>
              <w:rFonts w:ascii="Helvetica" w:hAnsi="Helvetica"/>
            </w:rPr>
            <w:t xml:space="preserve"> </w:t>
          </w:r>
          <w:hyperlink r:id="rId3" w:history="1">
            <w:r w:rsidRPr="000E4588">
              <w:rPr>
                <w:rStyle w:val="Hiperhivatkozs"/>
                <w:rFonts w:ascii="Helvetica" w:hAnsi="Helvetica"/>
                <w:sz w:val="16"/>
                <w:szCs w:val="16"/>
              </w:rPr>
              <w:t>www.mkeh.gov.hu</w:t>
            </w:r>
          </w:hyperlink>
        </w:p>
        <w:p w:rsidR="00CC606E" w:rsidRPr="00C27FD4" w:rsidRDefault="00CC606E" w:rsidP="00D04D1D">
          <w:pPr>
            <w:spacing w:after="0" w:line="240" w:lineRule="auto"/>
            <w:ind w:left="-1904" w:firstLine="1904"/>
            <w:rPr>
              <w:rFonts w:ascii="H-Helvetica Thin" w:hAnsi="H-Helvetica Thin" w:cs="Arial"/>
              <w:color w:val="808080"/>
              <w:sz w:val="20"/>
              <w:szCs w:val="16"/>
            </w:rPr>
          </w:pPr>
        </w:p>
      </w:tc>
    </w:tr>
  </w:tbl>
  <w:p w:rsidR="00CC606E" w:rsidRDefault="00CC60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07" w:rsidRDefault="009C5D07" w:rsidP="00CC606E">
      <w:pPr>
        <w:spacing w:after="0" w:line="240" w:lineRule="auto"/>
      </w:pPr>
      <w:r>
        <w:separator/>
      </w:r>
    </w:p>
  </w:footnote>
  <w:footnote w:type="continuationSeparator" w:id="0">
    <w:p w:rsidR="009C5D07" w:rsidRDefault="009C5D07" w:rsidP="00CC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6E" w:rsidRDefault="00CC606E" w:rsidP="00111B4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011732" cy="1279103"/>
          <wp:effectExtent l="0" t="0" r="0" b="0"/>
          <wp:docPr id="4" name="Kép 1" descr="fejléc színes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995" cy="1280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EE"/>
    <w:multiLevelType w:val="hybridMultilevel"/>
    <w:tmpl w:val="1B609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BE4"/>
    <w:multiLevelType w:val="hybridMultilevel"/>
    <w:tmpl w:val="777A1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2D2"/>
    <w:multiLevelType w:val="hybridMultilevel"/>
    <w:tmpl w:val="C43CC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7C0E"/>
    <w:multiLevelType w:val="hybridMultilevel"/>
    <w:tmpl w:val="06AEC5C0"/>
    <w:lvl w:ilvl="0" w:tplc="C5502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3361"/>
    <w:multiLevelType w:val="hybridMultilevel"/>
    <w:tmpl w:val="80C6C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2D5D"/>
    <w:rsid w:val="0000606F"/>
    <w:rsid w:val="00074E2B"/>
    <w:rsid w:val="00090FDD"/>
    <w:rsid w:val="000F0C7B"/>
    <w:rsid w:val="001073C5"/>
    <w:rsid w:val="00111B48"/>
    <w:rsid w:val="001744F9"/>
    <w:rsid w:val="00225AE6"/>
    <w:rsid w:val="0029524E"/>
    <w:rsid w:val="003144B5"/>
    <w:rsid w:val="00332FDD"/>
    <w:rsid w:val="00380BFF"/>
    <w:rsid w:val="00393549"/>
    <w:rsid w:val="00486565"/>
    <w:rsid w:val="004E7605"/>
    <w:rsid w:val="00506BFA"/>
    <w:rsid w:val="005C7EC2"/>
    <w:rsid w:val="006028A0"/>
    <w:rsid w:val="0066180F"/>
    <w:rsid w:val="00681A32"/>
    <w:rsid w:val="00797CE1"/>
    <w:rsid w:val="007C0633"/>
    <w:rsid w:val="007C71F3"/>
    <w:rsid w:val="00807591"/>
    <w:rsid w:val="00816594"/>
    <w:rsid w:val="008870D0"/>
    <w:rsid w:val="008B4AE1"/>
    <w:rsid w:val="00925024"/>
    <w:rsid w:val="00993415"/>
    <w:rsid w:val="009C5D07"/>
    <w:rsid w:val="00A35019"/>
    <w:rsid w:val="00A41DC0"/>
    <w:rsid w:val="00A573E3"/>
    <w:rsid w:val="00B83CF6"/>
    <w:rsid w:val="00C80451"/>
    <w:rsid w:val="00C86C1B"/>
    <w:rsid w:val="00CC606E"/>
    <w:rsid w:val="00CF3DF2"/>
    <w:rsid w:val="00D02D5D"/>
    <w:rsid w:val="00D03EB0"/>
    <w:rsid w:val="00D04D1D"/>
    <w:rsid w:val="00D74C45"/>
    <w:rsid w:val="00DD3877"/>
    <w:rsid w:val="00DF36DE"/>
    <w:rsid w:val="00E162D4"/>
    <w:rsid w:val="00EA1DE4"/>
    <w:rsid w:val="00EF092A"/>
    <w:rsid w:val="00E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F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F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62D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C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606E"/>
  </w:style>
  <w:style w:type="paragraph" w:styleId="llb">
    <w:name w:val="footer"/>
    <w:basedOn w:val="Norml"/>
    <w:link w:val="llbChar"/>
    <w:uiPriority w:val="99"/>
    <w:semiHidden/>
    <w:unhideWhenUsed/>
    <w:rsid w:val="00CC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606E"/>
  </w:style>
  <w:style w:type="paragraph" w:styleId="Buborkszveg">
    <w:name w:val="Balloon Text"/>
    <w:basedOn w:val="Norml"/>
    <w:link w:val="BuborkszvegChar"/>
    <w:uiPriority w:val="99"/>
    <w:semiHidden/>
    <w:unhideWhenUsed/>
    <w:rsid w:val="00CC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tszolgaltatas@bfkh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eh.gov.hu" TargetMode="External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mailto:idegenforgalmi@bfkh.gov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eh.gov.hu" TargetMode="External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mailto:idegenforgalmi@bfk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bekesi001</dc:creator>
  <cp:lastModifiedBy>bekesi001</cp:lastModifiedBy>
  <cp:revision>2</cp:revision>
  <dcterms:created xsi:type="dcterms:W3CDTF">2021-03-17T16:24:00Z</dcterms:created>
  <dcterms:modified xsi:type="dcterms:W3CDTF">2021-03-17T16:24:00Z</dcterms:modified>
</cp:coreProperties>
</file>