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1" w:rsidRDefault="00D02D5D" w:rsidP="00D02D5D">
      <w:pPr>
        <w:spacing w:after="0"/>
        <w:jc w:val="center"/>
        <w:rPr>
          <w:b/>
        </w:rPr>
      </w:pPr>
      <w:r w:rsidRPr="00D02D5D">
        <w:rPr>
          <w:b/>
        </w:rPr>
        <w:t>SEGÉDLET</w:t>
      </w:r>
    </w:p>
    <w:p w:rsidR="00D02D5D" w:rsidRPr="00D02D5D" w:rsidRDefault="00D02D5D" w:rsidP="00D02D5D">
      <w:pPr>
        <w:spacing w:after="0"/>
        <w:jc w:val="center"/>
        <w:rPr>
          <w:b/>
        </w:rPr>
      </w:pPr>
    </w:p>
    <w:p w:rsidR="00D02D5D" w:rsidRPr="00D02D5D" w:rsidRDefault="00D02D5D" w:rsidP="00D02D5D">
      <w:pPr>
        <w:spacing w:after="0"/>
        <w:jc w:val="center"/>
        <w:rPr>
          <w:b/>
        </w:rPr>
      </w:pPr>
      <w:r w:rsidRPr="00D02D5D">
        <w:rPr>
          <w:b/>
        </w:rPr>
        <w:t>Október 31-ig teljesítendő adatszolgáltatási és igazolási kötelezettség teljesítéséhez</w:t>
      </w:r>
    </w:p>
    <w:p w:rsidR="00D02D5D" w:rsidRDefault="00D02D5D" w:rsidP="00D02D5D">
      <w:pPr>
        <w:spacing w:after="0"/>
      </w:pPr>
    </w:p>
    <w:p w:rsidR="00D02D5D" w:rsidRPr="00332FDD" w:rsidRDefault="00D02D5D" w:rsidP="00D02D5D">
      <w:pPr>
        <w:spacing w:after="0"/>
        <w:rPr>
          <w:b/>
          <w:u w:val="single"/>
        </w:rPr>
      </w:pPr>
      <w:r w:rsidRPr="00332FDD">
        <w:rPr>
          <w:b/>
          <w:u w:val="single"/>
        </w:rPr>
        <w:t>Általános információk:</w:t>
      </w:r>
    </w:p>
    <w:p w:rsidR="00D02D5D" w:rsidRDefault="00D02D5D" w:rsidP="00332FDD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Vállalkozása részéről a július 1-i jogszabályváltozás kapcsán, vagy </w:t>
      </w:r>
      <w:r w:rsidR="00332FDD">
        <w:t xml:space="preserve">az utazásszervezői </w:t>
      </w:r>
      <w:r>
        <w:t>tevékenységének ezen időpontot követő megkezdésekor nyilatkozott arról, hogy belföldi vagy nemzetközi utazásszervezői tevékenységet végez és mindezekkel összefüggésben az összeállított utazási csomagjainak részét képezi-e a személyszállítási elem vagy sem. Belföldi biztosítékot továbbra is a Magyarország határainak átlépésével nem járó utazásokho</w:t>
      </w:r>
      <w:r w:rsidR="00332FDD">
        <w:t>z, míg nemzetközit az ebbe a ha</w:t>
      </w:r>
      <w:r>
        <w:t xml:space="preserve">lmazba nem sorolható utazásokhoz kapcsolódóan kell igazolni. </w:t>
      </w:r>
      <w:r w:rsidR="00332FDD">
        <w:t xml:space="preserve">A kötelező biztosítás csak abban az esetben szükséges, ha az összeállított utazási csomagjainak része a személyszállítási elem. </w:t>
      </w:r>
      <w:r w:rsidR="00332FDD" w:rsidRPr="00E162D4">
        <w:rPr>
          <w:i/>
          <w:u w:val="single"/>
        </w:rPr>
        <w:t>A fizetésképtelenség elleni védelem rendszer</w:t>
      </w:r>
      <w:r w:rsidR="00E162D4" w:rsidRPr="00E162D4">
        <w:rPr>
          <w:i/>
          <w:u w:val="single"/>
        </w:rPr>
        <w:t>é</w:t>
      </w:r>
      <w:r w:rsidR="00332FDD" w:rsidRPr="00E162D4">
        <w:rPr>
          <w:i/>
          <w:u w:val="single"/>
        </w:rPr>
        <w:t xml:space="preserve">nek mindaddig a felénk </w:t>
      </w:r>
      <w:r w:rsidR="00E162D4" w:rsidRPr="00E162D4">
        <w:rPr>
          <w:i/>
          <w:u w:val="single"/>
        </w:rPr>
        <w:t>bejelentett</w:t>
      </w:r>
      <w:r w:rsidR="00332FDD" w:rsidRPr="00E162D4">
        <w:rPr>
          <w:i/>
          <w:u w:val="single"/>
        </w:rPr>
        <w:t xml:space="preserve"> tevékenységével összhangban kell megfelelnie, amíg ezzel kapcsolatos változást nem </w:t>
      </w:r>
      <w:r w:rsidR="00DF36DE" w:rsidRPr="00E162D4">
        <w:rPr>
          <w:i/>
          <w:u w:val="single"/>
        </w:rPr>
        <w:t>jelent be</w:t>
      </w:r>
      <w:r w:rsidR="00332FDD" w:rsidRPr="00E162D4">
        <w:rPr>
          <w:i/>
          <w:u w:val="single"/>
        </w:rPr>
        <w:t xml:space="preserve"> felénk</w:t>
      </w:r>
      <w:r w:rsidR="00332FDD">
        <w:t xml:space="preserve"> (pl. a továbbiakban már nem végez belföldi utazásszervezést, vagy utazási csomagjainak már nem lesz része, vagy éppen része lesz a személyszállítási elem). </w:t>
      </w:r>
    </w:p>
    <w:p w:rsidR="00E162D4" w:rsidRDefault="00E162D4" w:rsidP="00E162D4">
      <w:pPr>
        <w:pStyle w:val="Listaszerbekezds"/>
        <w:spacing w:after="0" w:line="240" w:lineRule="auto"/>
        <w:jc w:val="both"/>
      </w:pPr>
    </w:p>
    <w:p w:rsidR="00332FDD" w:rsidRDefault="00DF36DE" w:rsidP="00332FDD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Fentiek </w:t>
      </w:r>
      <w:proofErr w:type="gramStart"/>
      <w:r>
        <w:t>alapján</w:t>
      </w:r>
      <w:proofErr w:type="gramEnd"/>
      <w:r>
        <w:t xml:space="preserve"> az adatlapon </w:t>
      </w:r>
      <w:r w:rsidR="00B83CF6" w:rsidRPr="00E162D4">
        <w:rPr>
          <w:i/>
          <w:u w:val="single"/>
        </w:rPr>
        <w:t>az árbevételi adatok kapcsán, csak annál a tevékenységnél (</w:t>
      </w:r>
      <w:r w:rsidRPr="00E162D4">
        <w:rPr>
          <w:i/>
          <w:u w:val="single"/>
        </w:rPr>
        <w:t xml:space="preserve">belföldi </w:t>
      </w:r>
      <w:r w:rsidR="00B83CF6" w:rsidRPr="00E162D4">
        <w:rPr>
          <w:i/>
          <w:u w:val="single"/>
        </w:rPr>
        <w:t>és/vagy</w:t>
      </w:r>
      <w:r w:rsidRPr="00E162D4">
        <w:rPr>
          <w:i/>
          <w:u w:val="single"/>
        </w:rPr>
        <w:t xml:space="preserve"> nemzetközi</w:t>
      </w:r>
      <w:r w:rsidR="00B83CF6" w:rsidRPr="00E162D4">
        <w:rPr>
          <w:i/>
          <w:u w:val="single"/>
        </w:rPr>
        <w:t>)</w:t>
      </w:r>
      <w:r w:rsidRPr="00E162D4">
        <w:rPr>
          <w:i/>
          <w:u w:val="single"/>
        </w:rPr>
        <w:t xml:space="preserve"> </w:t>
      </w:r>
      <w:r w:rsidR="00B83CF6" w:rsidRPr="00E162D4">
        <w:rPr>
          <w:i/>
          <w:u w:val="single"/>
        </w:rPr>
        <w:t>adjon meg releváns összeget</w:t>
      </w:r>
      <w:r w:rsidR="00B83CF6">
        <w:t xml:space="preserve"> (számviteli rendszeréből levezethető és a biztosító / bank felé is megadott összeget), </w:t>
      </w:r>
      <w:r w:rsidR="00B83CF6" w:rsidRPr="00E162D4">
        <w:rPr>
          <w:i/>
          <w:u w:val="single"/>
        </w:rPr>
        <w:t>amely tevékenységet ténylegesen végzi</w:t>
      </w:r>
      <w:r w:rsidR="00B83CF6">
        <w:t>, azaz amelyet hatóságunk felé is bejelentett. Ha az adott tevékenység végzéséről tett bejelentést felénk korábban, úgy akkor is nyilatkozzon, ha nem keletkezett bevétele (0 Ft)</w:t>
      </w:r>
      <w:r>
        <w:t xml:space="preserve">. </w:t>
      </w:r>
    </w:p>
    <w:p w:rsidR="00E162D4" w:rsidRDefault="00E162D4" w:rsidP="00E162D4">
      <w:pPr>
        <w:spacing w:after="0" w:line="240" w:lineRule="auto"/>
        <w:jc w:val="both"/>
      </w:pPr>
    </w:p>
    <w:p w:rsidR="00380BFF" w:rsidRDefault="00380BFF" w:rsidP="00332FDD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Annak ellenére, hogy az adatlapunkon csak a 2018. évre várható és a 2019. évre tervezett árbevételeket kérjük megadni, </w:t>
      </w:r>
      <w:r w:rsidRPr="00E162D4">
        <w:rPr>
          <w:i/>
          <w:u w:val="single"/>
        </w:rPr>
        <w:t>a vagyoni biztosíték megfelelő mértékének meghatározása kapcsán legyenek figyelemmel a 2017. évre vonatkozóan tett (július 1. kapcsán nyilatkozott) árbevételi adatra is</w:t>
      </w:r>
      <w:r>
        <w:t xml:space="preserve">, hiszen a három érték közül a legmagasabb összeget kell alapul </w:t>
      </w:r>
      <w:r w:rsidR="007C71F3">
        <w:t xml:space="preserve">venni a vagyoni biztosíték </w:t>
      </w:r>
      <w:r>
        <w:t>mértékének meghatározásánál. (2017. évi adatot azért nem kérünk, mert arról már nyilatkoztak.</w:t>
      </w:r>
      <w:r w:rsidR="00E162D4">
        <w:t>).</w:t>
      </w:r>
    </w:p>
    <w:p w:rsidR="00111B48" w:rsidRDefault="00111B48" w:rsidP="00111B48">
      <w:pPr>
        <w:pStyle w:val="Listaszerbekezds"/>
      </w:pPr>
    </w:p>
    <w:p w:rsidR="00111B48" w:rsidRDefault="00111B48" w:rsidP="00332FDD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2019. évre tervezett utazási csomagok személyszállítási eleméről azért várunk nyilatkozatot, mert az a nemzetközi vagyoni biztosíték minimum összegére is kihat (</w:t>
      </w:r>
      <w:r w:rsidRPr="00111B48">
        <w:rPr>
          <w:i/>
        </w:rPr>
        <w:t>5 millió helyett 7 millió szükséges és kiegészítő biztosítást is kötni kell</w:t>
      </w:r>
      <w:r>
        <w:t xml:space="preserve">.). </w:t>
      </w:r>
    </w:p>
    <w:p w:rsidR="00E162D4" w:rsidRDefault="00E162D4" w:rsidP="00E162D4">
      <w:pPr>
        <w:spacing w:after="0" w:line="240" w:lineRule="auto"/>
        <w:jc w:val="both"/>
      </w:pPr>
    </w:p>
    <w:p w:rsidR="00332FDD" w:rsidRDefault="00332FDD" w:rsidP="00332FDD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Az adatlapunkon a </w:t>
      </w:r>
      <w:r w:rsidRPr="00E162D4">
        <w:rPr>
          <w:i/>
          <w:u w:val="single"/>
        </w:rPr>
        <w:t>kapcsolattartó személy</w:t>
      </w:r>
      <w:r>
        <w:t xml:space="preserve"> elérhetőségét célszerű kitölteni, hogy az esetleges pontatlanságokat, könnyen orvosolható problémákat </w:t>
      </w:r>
      <w:r w:rsidR="00DF36DE">
        <w:t xml:space="preserve">közösen </w:t>
      </w:r>
      <w:r>
        <w:t>kezelni tudjuk.</w:t>
      </w:r>
    </w:p>
    <w:p w:rsidR="00E162D4" w:rsidRDefault="00E162D4" w:rsidP="00E162D4">
      <w:pPr>
        <w:spacing w:after="0" w:line="240" w:lineRule="auto"/>
        <w:jc w:val="both"/>
      </w:pPr>
    </w:p>
    <w:p w:rsidR="00332FDD" w:rsidRDefault="00332FDD" w:rsidP="00332FDD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Ha bármely iratot másolatban csatol vagy </w:t>
      </w:r>
      <w:proofErr w:type="spellStart"/>
      <w:r>
        <w:t>emailen</w:t>
      </w:r>
      <w:proofErr w:type="spellEnd"/>
      <w:r>
        <w:t xml:space="preserve"> küld, úgy </w:t>
      </w:r>
      <w:r w:rsidR="007C71F3">
        <w:t xml:space="preserve">nyilatkoznia szükséges </w:t>
      </w:r>
      <w:r>
        <w:t>az eredetivel való egyezőségről szóló nyilatkozatot (eljárásrendi követelmény).</w:t>
      </w:r>
      <w:r w:rsidR="007C71F3">
        <w:t xml:space="preserve"> A nyilatkozat az adatlap aláírásával is teljesül.</w:t>
      </w:r>
    </w:p>
    <w:p w:rsidR="00CC606E" w:rsidRDefault="00CC606E" w:rsidP="00DF36DE">
      <w:pPr>
        <w:spacing w:after="0" w:line="240" w:lineRule="auto"/>
        <w:jc w:val="both"/>
        <w:rPr>
          <w:b/>
          <w:u w:val="single"/>
        </w:rPr>
      </w:pPr>
    </w:p>
    <w:p w:rsidR="00DF36DE" w:rsidRPr="00EF4BA4" w:rsidRDefault="00DF36DE" w:rsidP="00DF36DE">
      <w:pPr>
        <w:spacing w:after="0" w:line="240" w:lineRule="auto"/>
        <w:jc w:val="both"/>
        <w:rPr>
          <w:b/>
          <w:u w:val="single"/>
        </w:rPr>
      </w:pPr>
      <w:r w:rsidRPr="00EF4BA4">
        <w:rPr>
          <w:b/>
          <w:u w:val="single"/>
        </w:rPr>
        <w:t>Kötvények, Banki igazolások:</w:t>
      </w:r>
    </w:p>
    <w:p w:rsidR="00DF36DE" w:rsidRDefault="00380BFF" w:rsidP="00E162D4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 xml:space="preserve">Az új szabályozás némileg módosította a vagyoni biztosítékként elfogadható szerződések kötelező tartalmi elemeit. </w:t>
      </w:r>
      <w:proofErr w:type="gramStart"/>
      <w:r>
        <w:t>A szerződésnek rendelkeznie kell arról is – összefüggésben azzal az esettel, ha az utazási vállalkozó nem képes az előlegek és részvételi díjak visszafizetésére és ezt a vállalkozó helyett a bank ill. a biztosító teszi meg</w:t>
      </w:r>
      <w:r w:rsidR="00E162D4">
        <w:t xml:space="preserve"> –</w:t>
      </w:r>
      <w:r>
        <w:t>, hogy „</w:t>
      </w:r>
      <w:r w:rsidRPr="00E162D4">
        <w:rPr>
          <w:i/>
        </w:rPr>
        <w:t>Ezen intézkedések megtétele érdekében az utazási vállalkozó köteles írásban vagy elektronikus hozzáférés biztosításával a biztosító, ill. a hitelintézet rendelkezésére bocsátani a kárenyhítéshez szükséges valamennyi adatot, különösen az érintett utazók azonosító adatait, az utazásukra, a szálláshelyükre, elérhetőségükre vonatkozó adatokat, az általuk befizetett előlegeket</w:t>
      </w:r>
      <w:proofErr w:type="gramEnd"/>
      <w:r w:rsidRPr="00E162D4">
        <w:rPr>
          <w:i/>
        </w:rPr>
        <w:t xml:space="preserve"> és részvételi díjakat</w:t>
      </w:r>
      <w:r>
        <w:t>”.</w:t>
      </w:r>
    </w:p>
    <w:p w:rsidR="00380BFF" w:rsidRDefault="00380BFF" w:rsidP="00380BFF">
      <w:pPr>
        <w:spacing w:after="0" w:line="240" w:lineRule="auto"/>
        <w:ind w:left="708"/>
        <w:jc w:val="both"/>
        <w:rPr>
          <w:b/>
          <w:u w:val="single"/>
        </w:rPr>
      </w:pPr>
      <w:r>
        <w:t>Mindez különösen a hitelintézettel szerződő utazási irodák számára fontos, hisz ott mindig egyedi szerződések, bankgaranciák kerülnek kiállításra, míg a biztosításoknál a kötvény mögött egy általános szerződési feltétel áll.</w:t>
      </w:r>
      <w:r w:rsidR="00E162D4">
        <w:t xml:space="preserve"> </w:t>
      </w:r>
      <w:r w:rsidR="00E162D4" w:rsidRPr="00E162D4">
        <w:rPr>
          <w:b/>
          <w:u w:val="single"/>
        </w:rPr>
        <w:t>Ilyenformán a</w:t>
      </w:r>
      <w:r w:rsidR="007C71F3">
        <w:rPr>
          <w:b/>
          <w:u w:val="single"/>
        </w:rPr>
        <w:t xml:space="preserve"> hivatkozott rendelkezéssel a</w:t>
      </w:r>
      <w:r w:rsidR="00E162D4" w:rsidRPr="00E162D4">
        <w:rPr>
          <w:b/>
          <w:u w:val="single"/>
        </w:rPr>
        <w:t xml:space="preserve"> korábbi banki igazolásokat</w:t>
      </w:r>
      <w:r w:rsidR="00E162D4">
        <w:rPr>
          <w:b/>
          <w:u w:val="single"/>
        </w:rPr>
        <w:t xml:space="preserve"> / szerződéseket</w:t>
      </w:r>
      <w:r w:rsidR="00E162D4" w:rsidRPr="00E162D4">
        <w:rPr>
          <w:b/>
          <w:u w:val="single"/>
        </w:rPr>
        <w:t xml:space="preserve"> mindenképpen módosítani kell!</w:t>
      </w:r>
    </w:p>
    <w:p w:rsidR="00CC606E" w:rsidRDefault="00CC606E" w:rsidP="00380BFF">
      <w:pPr>
        <w:spacing w:after="0" w:line="240" w:lineRule="auto"/>
        <w:ind w:left="708"/>
        <w:jc w:val="both"/>
      </w:pPr>
    </w:p>
    <w:p w:rsidR="00380BFF" w:rsidRDefault="00380BFF" w:rsidP="00380BFF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E162D4">
        <w:rPr>
          <w:b/>
          <w:u w:val="single"/>
        </w:rPr>
        <w:t>Bankgarancia esetén</w:t>
      </w:r>
      <w:r>
        <w:t xml:space="preserve"> minden esetben szükséges lesz a garancialevél </w:t>
      </w:r>
      <w:r w:rsidRPr="00E162D4">
        <w:rPr>
          <w:i/>
          <w:u w:val="single"/>
        </w:rPr>
        <w:t>eredeti példányának</w:t>
      </w:r>
      <w:r>
        <w:t xml:space="preserve"> hat</w:t>
      </w:r>
      <w:r w:rsidR="00EF4BA4">
        <w:t>óságunk felé történő megküldése. Ez megtörténhet</w:t>
      </w:r>
      <w:r>
        <w:t xml:space="preserve"> akár a határidőre másolatban küldött példányt követően</w:t>
      </w:r>
      <w:r w:rsidR="00EF4BA4">
        <w:t xml:space="preserve"> is</w:t>
      </w:r>
      <w:r w:rsidR="007C71F3">
        <w:t xml:space="preserve"> ésszerű időn belül</w:t>
      </w:r>
      <w:r w:rsidR="00EF4BA4">
        <w:t>.</w:t>
      </w:r>
    </w:p>
    <w:p w:rsidR="00E162D4" w:rsidRDefault="00E162D4" w:rsidP="00E162D4">
      <w:pPr>
        <w:pStyle w:val="Listaszerbekezds"/>
        <w:spacing w:after="0" w:line="240" w:lineRule="auto"/>
        <w:jc w:val="both"/>
      </w:pPr>
    </w:p>
    <w:p w:rsidR="00EF4BA4" w:rsidRDefault="00EF4BA4" w:rsidP="00380BFF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 xml:space="preserve">A mennyiben a biztosítótársaság vállalja, hogy a kötvényeket hatóságunk felé eljuttatja, úgy – figyelemmel az elmúlt évek tapasztalataira – bizalommal </w:t>
      </w:r>
      <w:r w:rsidR="006028A0">
        <w:t>hagyatkozhatnak</w:t>
      </w:r>
      <w:r>
        <w:t xml:space="preserve"> partnerükre, ez eddig minden évben hasonló módon és rendben lezajlott, ugyanakkor hiányzó kötvények esetében értelemszerűen Önökhöz fordulunk </w:t>
      </w:r>
      <w:r w:rsidR="00E162D4">
        <w:t>és nem a biztosítótársasághoz</w:t>
      </w:r>
      <w:r>
        <w:t>.</w:t>
      </w:r>
    </w:p>
    <w:p w:rsidR="00EF4BA4" w:rsidRDefault="00EF4BA4" w:rsidP="00EF4BA4">
      <w:pPr>
        <w:spacing w:after="0" w:line="240" w:lineRule="auto"/>
        <w:jc w:val="both"/>
      </w:pPr>
    </w:p>
    <w:p w:rsidR="00EF4BA4" w:rsidRPr="00E162D4" w:rsidRDefault="00EF4BA4" w:rsidP="00EF4BA4">
      <w:pPr>
        <w:spacing w:after="0" w:line="240" w:lineRule="auto"/>
        <w:jc w:val="both"/>
        <w:rPr>
          <w:b/>
          <w:u w:val="single"/>
        </w:rPr>
      </w:pPr>
      <w:r w:rsidRPr="00E162D4">
        <w:rPr>
          <w:b/>
          <w:u w:val="single"/>
        </w:rPr>
        <w:t>Mulasztással összefüggő új jogkövetkezmények:</w:t>
      </w:r>
    </w:p>
    <w:p w:rsidR="00EF4BA4" w:rsidRDefault="00EF4BA4" w:rsidP="00E162D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Az új szabályozási környezet lehetőséget ad arra, hogy az október 31-i határidőt követő </w:t>
      </w:r>
      <w:r w:rsidRPr="00E162D4">
        <w:rPr>
          <w:i/>
          <w:u w:val="single"/>
        </w:rPr>
        <w:t>8 napon belül</w:t>
      </w:r>
      <w:r w:rsidR="00A41DC0">
        <w:rPr>
          <w:i/>
          <w:u w:val="single"/>
        </w:rPr>
        <w:t>, azaz november 8-ig</w:t>
      </w:r>
      <w:r w:rsidRPr="00E162D4">
        <w:rPr>
          <w:i/>
          <w:u w:val="single"/>
        </w:rPr>
        <w:t xml:space="preserve"> bírság kiszabása nélkül is lehessen pótolni a mulasztást</w:t>
      </w:r>
      <w:r>
        <w:t>. Ilyen esetben hatóságunk figyelmeztetést köteles kiadni azonban, mely tartalmazni fogja, hogy ha és amennyiben a mulasztás az ezt követő két éven belül ismételten bekövetkezik, az már bírság kiszabását vonja maga után.</w:t>
      </w:r>
    </w:p>
    <w:p w:rsidR="00E162D4" w:rsidRDefault="00E162D4" w:rsidP="00E162D4">
      <w:pPr>
        <w:pStyle w:val="Listaszerbekezds"/>
        <w:spacing w:after="0" w:line="240" w:lineRule="auto"/>
        <w:jc w:val="both"/>
      </w:pPr>
    </w:p>
    <w:p w:rsidR="00EF4BA4" w:rsidRDefault="00EF4BA4" w:rsidP="00E162D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Amennyiben utazási vállalkozása a határidőt követő 8 napon belül sem teljesíti az adatszolgáltatást, vagy ezen időpontig nem megfelelően teljesíti</w:t>
      </w:r>
      <w:r w:rsidR="007C71F3">
        <w:t xml:space="preserve"> azt</w:t>
      </w:r>
      <w:r>
        <w:t xml:space="preserve">, úgy </w:t>
      </w:r>
      <w:r w:rsidRPr="00E162D4">
        <w:rPr>
          <w:i/>
          <w:u w:val="single"/>
        </w:rPr>
        <w:t>hatóságunk köteles bírságot kiszabni</w:t>
      </w:r>
      <w:r>
        <w:t xml:space="preserve"> és 8 napon belüli teljesítésre felhívni az utazási irodát.</w:t>
      </w:r>
    </w:p>
    <w:p w:rsidR="00E162D4" w:rsidRDefault="00E162D4" w:rsidP="00E162D4">
      <w:pPr>
        <w:spacing w:after="0" w:line="240" w:lineRule="auto"/>
        <w:jc w:val="both"/>
      </w:pPr>
    </w:p>
    <w:p w:rsidR="00E162D4" w:rsidRDefault="00EF4BA4" w:rsidP="00E162D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Amennyiben valamely vállalkozó önhibán kívüli okból fenti határnapokig sem tudja teljesíteni kötelezettségét, </w:t>
      </w:r>
      <w:r w:rsidR="007C71F3">
        <w:t>úgy</w:t>
      </w:r>
      <w:r>
        <w:t xml:space="preserve"> </w:t>
      </w:r>
      <w:r w:rsidRPr="00E162D4">
        <w:rPr>
          <w:i/>
          <w:u w:val="single"/>
        </w:rPr>
        <w:t>igazolási kérelmet</w:t>
      </w:r>
      <w:r>
        <w:t xml:space="preserve"> továbbra is előterjeszthet az aka</w:t>
      </w:r>
      <w:r w:rsidR="00E162D4">
        <w:t>dályoztatása megszűnését követően, de minden esetben igazolni kell az önhibán kívüli okot, pótolni kell teljes körűen az adatszolgáltatást és a kérelemhez 3000 Ft illeték megfizetését kell igazolni (</w:t>
      </w:r>
      <w:hyperlink r:id="rId7" w:history="1">
        <w:r w:rsidR="00E162D4" w:rsidRPr="007267D2">
          <w:rPr>
            <w:rStyle w:val="Hiperhivatkozs"/>
          </w:rPr>
          <w:t>http://mkeh.gov.hu/eljarasidij</w:t>
        </w:r>
      </w:hyperlink>
      <w:r w:rsidR="00E162D4">
        <w:t>).</w:t>
      </w:r>
    </w:p>
    <w:p w:rsidR="00E162D4" w:rsidRDefault="00E162D4" w:rsidP="00E162D4">
      <w:pPr>
        <w:pStyle w:val="Listaszerbekezds"/>
      </w:pPr>
    </w:p>
    <w:p w:rsidR="00E162D4" w:rsidRDefault="00E162D4" w:rsidP="00E162D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Figyelemmel az október 31-et követő 4 munkaszüneti napra és az előbbiekben jelzett november 8-ig történő bírságolás nélküli, utólagos pótlás lehetőségére, kérjük kellő időben intézkedjenek a biztosíték megújításáról!</w:t>
      </w:r>
    </w:p>
    <w:p w:rsidR="00E162D4" w:rsidRDefault="00E162D4" w:rsidP="00E162D4">
      <w:pPr>
        <w:pStyle w:val="Listaszerbekezds"/>
        <w:spacing w:after="0" w:line="240" w:lineRule="auto"/>
        <w:jc w:val="both"/>
      </w:pPr>
    </w:p>
    <w:p w:rsidR="00E162D4" w:rsidRDefault="00E162D4" w:rsidP="00EF4BA4">
      <w:pPr>
        <w:spacing w:after="0" w:line="240" w:lineRule="auto"/>
        <w:jc w:val="both"/>
      </w:pPr>
    </w:p>
    <w:p w:rsidR="00332FDD" w:rsidRPr="00E162D4" w:rsidRDefault="00E162D4" w:rsidP="00332FDD">
      <w:pPr>
        <w:spacing w:after="0" w:line="240" w:lineRule="auto"/>
        <w:jc w:val="both"/>
        <w:rPr>
          <w:b/>
        </w:rPr>
      </w:pPr>
      <w:r w:rsidRPr="00E162D4">
        <w:rPr>
          <w:b/>
        </w:rPr>
        <w:t>Köszönjük, hogy megtisztelt figyelmével és áttekintette az október 31-i igazolási kötelezettséggel összefüggő segédletünket!</w:t>
      </w:r>
    </w:p>
    <w:sectPr w:rsidR="00332FDD" w:rsidRPr="00E162D4" w:rsidSect="00CC606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4E" w:rsidRDefault="0029524E" w:rsidP="00CC606E">
      <w:pPr>
        <w:spacing w:after="0" w:line="240" w:lineRule="auto"/>
      </w:pPr>
      <w:r>
        <w:separator/>
      </w:r>
    </w:p>
  </w:endnote>
  <w:endnote w:type="continuationSeparator" w:id="0">
    <w:p w:rsidR="0029524E" w:rsidRDefault="0029524E" w:rsidP="00CC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2"/>
      <w:gridCol w:w="7196"/>
    </w:tblGrid>
    <w:tr w:rsidR="00CC606E" w:rsidRPr="00C27FD4" w:rsidTr="009B3059">
      <w:tc>
        <w:tcPr>
          <w:tcW w:w="2093" w:type="dxa"/>
        </w:tcPr>
        <w:p w:rsidR="00CC606E" w:rsidRPr="00C27FD4" w:rsidRDefault="00CC606E" w:rsidP="009B3059">
          <w:pPr>
            <w:spacing w:after="0" w:line="240" w:lineRule="auto"/>
            <w:rPr>
              <w:rFonts w:ascii="H-Helvetica Thin" w:hAnsi="H-Helvetica Thin" w:cs="Arial"/>
              <w:noProof/>
              <w:color w:val="808080"/>
              <w:spacing w:val="2"/>
              <w:sz w:val="16"/>
              <w:szCs w:val="16"/>
            </w:rPr>
          </w:pPr>
          <w:r>
            <w:rPr>
              <w:rFonts w:ascii="H-Helvetica Thin" w:hAnsi="H-Helvetica Thin" w:cs="Arial"/>
              <w:noProof/>
              <w:color w:val="808080"/>
              <w:spacing w:val="2"/>
              <w:sz w:val="16"/>
              <w:szCs w:val="16"/>
              <w:lang w:eastAsia="hu-HU"/>
            </w:rPr>
            <w:drawing>
              <wp:inline distT="0" distB="0" distL="0" distR="0">
                <wp:extent cx="1146810" cy="644525"/>
                <wp:effectExtent l="19050" t="0" r="0" b="0"/>
                <wp:docPr id="9" name="Kép 0" descr="családok éve logó jogtárból 120 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családok éve logó jogtárból 120 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CC606E" w:rsidRPr="00C27FD4" w:rsidRDefault="00CC606E" w:rsidP="009B3059">
          <w:pPr>
            <w:spacing w:after="0" w:line="240" w:lineRule="auto"/>
            <w:jc w:val="center"/>
            <w:rPr>
              <w:rFonts w:ascii="H-Helvetica Thin" w:hAnsi="H-Helvetica Thin" w:cs="Arial"/>
              <w:b/>
              <w:noProof/>
              <w:color w:val="000000"/>
              <w:spacing w:val="2"/>
              <w:sz w:val="16"/>
              <w:szCs w:val="16"/>
            </w:rPr>
          </w:pPr>
        </w:p>
        <w:p w:rsidR="00CC606E" w:rsidRPr="00C27FD4" w:rsidRDefault="00CC606E" w:rsidP="009B3059">
          <w:pPr>
            <w:spacing w:after="0" w:line="240" w:lineRule="auto"/>
            <w:jc w:val="center"/>
            <w:rPr>
              <w:rFonts w:cs="Arial"/>
              <w:b/>
              <w:noProof/>
              <w:color w:val="000000"/>
              <w:spacing w:val="2"/>
              <w:sz w:val="16"/>
              <w:szCs w:val="16"/>
            </w:rPr>
          </w:pPr>
          <w:r w:rsidRPr="00C27FD4">
            <w:rPr>
              <w:rFonts w:cs="Arial"/>
              <w:b/>
              <w:noProof/>
              <w:color w:val="000000"/>
              <w:spacing w:val="2"/>
              <w:sz w:val="16"/>
              <w:szCs w:val="16"/>
            </w:rPr>
            <w:t>Kereskedelmi, Haditechnikai, Exportellenőrzési és Nemesfémhitelesítési Főosztály</w:t>
          </w:r>
          <w:r w:rsidRPr="00C27FD4">
            <w:rPr>
              <w:rFonts w:cs="Arial"/>
              <w:b/>
              <w:noProof/>
              <w:color w:val="000000"/>
              <w:spacing w:val="2"/>
              <w:sz w:val="16"/>
              <w:szCs w:val="16"/>
            </w:rPr>
            <w:br/>
            <w:t>Idegenforgalmi és Közraktározás-felügyeleti Osztály</w:t>
          </w:r>
        </w:p>
        <w:p w:rsidR="00CC606E" w:rsidRPr="00C27FD4" w:rsidRDefault="00CC606E" w:rsidP="009B3059">
          <w:pPr>
            <w:spacing w:after="0" w:line="240" w:lineRule="auto"/>
            <w:jc w:val="center"/>
            <w:rPr>
              <w:rFonts w:cs="Arial"/>
              <w:noProof/>
              <w:color w:val="FF0000"/>
              <w:spacing w:val="2"/>
              <w:sz w:val="16"/>
              <w:szCs w:val="16"/>
            </w:rPr>
          </w:pPr>
          <w:r w:rsidRPr="00C27FD4">
            <w:rPr>
              <w:rFonts w:cs="Arial"/>
              <w:noProof/>
              <w:color w:val="000000"/>
              <w:spacing w:val="2"/>
              <w:sz w:val="16"/>
              <w:szCs w:val="16"/>
            </w:rPr>
            <w:t xml:space="preserve">1124 Budapest, Németvölgyi út 37-39. – 1535 Budapest, BKKP Pf. 919/1  – Telefon: +36 (1) 4585-800 – Fax: </w:t>
          </w:r>
          <w:r w:rsidRPr="00C27FD4">
            <w:rPr>
              <w:rFonts w:cs="Arial"/>
              <w:noProof/>
              <w:spacing w:val="2"/>
              <w:sz w:val="16"/>
              <w:szCs w:val="16"/>
            </w:rPr>
            <w:t>+36</w:t>
          </w:r>
          <w:r w:rsidRPr="00C27FD4">
            <w:rPr>
              <w:rFonts w:cs="Arial"/>
              <w:noProof/>
              <w:color w:val="FF0000"/>
              <w:spacing w:val="2"/>
              <w:sz w:val="16"/>
              <w:szCs w:val="16"/>
            </w:rPr>
            <w:t xml:space="preserve"> </w:t>
          </w:r>
          <w:r w:rsidRPr="00C27FD4">
            <w:rPr>
              <w:rFonts w:cs="Arial"/>
              <w:noProof/>
              <w:spacing w:val="2"/>
              <w:sz w:val="16"/>
              <w:szCs w:val="16"/>
            </w:rPr>
            <w:t xml:space="preserve">(1) </w:t>
          </w:r>
          <w:r w:rsidRPr="00C27FD4">
            <w:rPr>
              <w:rFonts w:cs="Arial"/>
              <w:noProof/>
              <w:color w:val="000000"/>
              <w:spacing w:val="2"/>
              <w:sz w:val="16"/>
              <w:szCs w:val="16"/>
            </w:rPr>
            <w:t xml:space="preserve">4585-847 </w:t>
          </w:r>
          <w:r w:rsidRPr="00C27FD4">
            <w:rPr>
              <w:rFonts w:cs="Arial"/>
              <w:noProof/>
              <w:color w:val="FF0000"/>
              <w:spacing w:val="2"/>
              <w:sz w:val="16"/>
              <w:szCs w:val="16"/>
            </w:rPr>
            <w:t xml:space="preserve"> </w:t>
          </w:r>
        </w:p>
        <w:p w:rsidR="00CC606E" w:rsidRPr="00C27FD4" w:rsidRDefault="00CC606E" w:rsidP="009B3059">
          <w:pPr>
            <w:spacing w:after="0" w:line="240" w:lineRule="auto"/>
            <w:jc w:val="center"/>
            <w:rPr>
              <w:rFonts w:ascii="H-Helvetica Thin" w:hAnsi="H-Helvetica Thin" w:cs="Arial"/>
              <w:szCs w:val="16"/>
            </w:rPr>
          </w:pPr>
          <w:r w:rsidRPr="00C27FD4">
            <w:rPr>
              <w:rFonts w:cs="Arial"/>
              <w:noProof/>
              <w:spacing w:val="2"/>
              <w:sz w:val="16"/>
              <w:szCs w:val="16"/>
            </w:rPr>
            <w:t xml:space="preserve">E-mail: </w:t>
          </w:r>
          <w:hyperlink r:id="rId2" w:history="1">
            <w:r w:rsidRPr="00C27FD4">
              <w:rPr>
                <w:rStyle w:val="Hiperhivatkozs"/>
                <w:rFonts w:cs="Arial"/>
                <w:noProof/>
                <w:spacing w:val="2"/>
                <w:sz w:val="16"/>
                <w:szCs w:val="16"/>
              </w:rPr>
              <w:t>idegenforgalmi@bfkh.gov.hu</w:t>
            </w:r>
          </w:hyperlink>
          <w:r w:rsidRPr="00C27FD4">
            <w:rPr>
              <w:rFonts w:cs="Arial"/>
              <w:noProof/>
              <w:spacing w:val="2"/>
              <w:sz w:val="16"/>
              <w:szCs w:val="16"/>
            </w:rPr>
            <w:t xml:space="preserve"> - </w:t>
          </w:r>
          <w:r w:rsidRPr="00C27FD4">
            <w:rPr>
              <w:rFonts w:cs="Arial"/>
              <w:noProof/>
              <w:color w:val="000000"/>
              <w:spacing w:val="2"/>
              <w:sz w:val="16"/>
              <w:szCs w:val="16"/>
            </w:rPr>
            <w:t xml:space="preserve">Honlap: </w:t>
          </w:r>
          <w:hyperlink r:id="rId3" w:history="1">
            <w:r w:rsidRPr="00C27FD4">
              <w:rPr>
                <w:rStyle w:val="Hiperhivatkozs"/>
                <w:rFonts w:cs="Arial"/>
                <w:noProof/>
                <w:spacing w:val="2"/>
                <w:sz w:val="16"/>
                <w:szCs w:val="16"/>
              </w:rPr>
              <w:t>www.kormanyhivatal.hu</w:t>
            </w:r>
          </w:hyperlink>
          <w:r w:rsidRPr="00C27FD4">
            <w:rPr>
              <w:rFonts w:cs="Calibri"/>
            </w:rPr>
            <w:t xml:space="preserve"> </w:t>
          </w:r>
          <w:hyperlink r:id="rId4" w:history="1">
            <w:r w:rsidRPr="00C27FD4">
              <w:rPr>
                <w:rStyle w:val="Hiperhivatkozs"/>
                <w:rFonts w:cs="Calibri"/>
                <w:sz w:val="16"/>
                <w:szCs w:val="16"/>
              </w:rPr>
              <w:t>www.mkeh.gov.hu</w:t>
            </w:r>
          </w:hyperlink>
        </w:p>
        <w:p w:rsidR="00CC606E" w:rsidRPr="00C27FD4" w:rsidRDefault="00CC606E" w:rsidP="009B3059">
          <w:pPr>
            <w:spacing w:after="0" w:line="240" w:lineRule="auto"/>
            <w:rPr>
              <w:rFonts w:ascii="H-Helvetica Thin" w:hAnsi="H-Helvetica Thin" w:cs="Arial"/>
              <w:color w:val="808080"/>
              <w:sz w:val="20"/>
              <w:szCs w:val="16"/>
            </w:rPr>
          </w:pPr>
        </w:p>
      </w:tc>
    </w:tr>
  </w:tbl>
  <w:p w:rsidR="00CC606E" w:rsidRDefault="00CC606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2"/>
      <w:gridCol w:w="7196"/>
    </w:tblGrid>
    <w:tr w:rsidR="00CC606E" w:rsidRPr="00C27FD4" w:rsidTr="009B3059">
      <w:tc>
        <w:tcPr>
          <w:tcW w:w="2093" w:type="dxa"/>
        </w:tcPr>
        <w:p w:rsidR="00CC606E" w:rsidRPr="00C27FD4" w:rsidRDefault="00CC606E" w:rsidP="009B3059">
          <w:pPr>
            <w:spacing w:after="0" w:line="240" w:lineRule="auto"/>
            <w:rPr>
              <w:rFonts w:ascii="H-Helvetica Thin" w:hAnsi="H-Helvetica Thin" w:cs="Arial"/>
              <w:noProof/>
              <w:color w:val="808080"/>
              <w:spacing w:val="2"/>
              <w:sz w:val="16"/>
              <w:szCs w:val="16"/>
            </w:rPr>
          </w:pPr>
          <w:r>
            <w:rPr>
              <w:rFonts w:ascii="H-Helvetica Thin" w:hAnsi="H-Helvetica Thin" w:cs="Arial"/>
              <w:noProof/>
              <w:color w:val="808080"/>
              <w:spacing w:val="2"/>
              <w:sz w:val="16"/>
              <w:szCs w:val="16"/>
              <w:lang w:eastAsia="hu-HU"/>
            </w:rPr>
            <w:drawing>
              <wp:inline distT="0" distB="0" distL="0" distR="0">
                <wp:extent cx="1146810" cy="644525"/>
                <wp:effectExtent l="19050" t="0" r="0" b="0"/>
                <wp:docPr id="7" name="Kép 0" descr="családok éve logó jogtárból 120 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családok éve logó jogtárból 120 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CC606E" w:rsidRPr="00C27FD4" w:rsidRDefault="00CC606E" w:rsidP="009B3059">
          <w:pPr>
            <w:spacing w:after="0" w:line="240" w:lineRule="auto"/>
            <w:jc w:val="center"/>
            <w:rPr>
              <w:rFonts w:ascii="H-Helvetica Thin" w:hAnsi="H-Helvetica Thin" w:cs="Arial"/>
              <w:b/>
              <w:noProof/>
              <w:color w:val="000000"/>
              <w:spacing w:val="2"/>
              <w:sz w:val="16"/>
              <w:szCs w:val="16"/>
            </w:rPr>
          </w:pPr>
        </w:p>
        <w:p w:rsidR="00CC606E" w:rsidRPr="00C27FD4" w:rsidRDefault="00CC606E" w:rsidP="009B3059">
          <w:pPr>
            <w:spacing w:after="0" w:line="240" w:lineRule="auto"/>
            <w:jc w:val="center"/>
            <w:rPr>
              <w:rFonts w:cs="Arial"/>
              <w:b/>
              <w:noProof/>
              <w:color w:val="000000"/>
              <w:spacing w:val="2"/>
              <w:sz w:val="16"/>
              <w:szCs w:val="16"/>
            </w:rPr>
          </w:pPr>
          <w:r w:rsidRPr="00C27FD4">
            <w:rPr>
              <w:rFonts w:cs="Arial"/>
              <w:b/>
              <w:noProof/>
              <w:color w:val="000000"/>
              <w:spacing w:val="2"/>
              <w:sz w:val="16"/>
              <w:szCs w:val="16"/>
            </w:rPr>
            <w:t>Kereskedelmi, Haditechnikai, Exportellenőrzési és Nemesfémhitelesítési Főosztály</w:t>
          </w:r>
          <w:r w:rsidRPr="00C27FD4">
            <w:rPr>
              <w:rFonts w:cs="Arial"/>
              <w:b/>
              <w:noProof/>
              <w:color w:val="000000"/>
              <w:spacing w:val="2"/>
              <w:sz w:val="16"/>
              <w:szCs w:val="16"/>
            </w:rPr>
            <w:br/>
            <w:t>Idegenforgalmi és Közraktározás-felügyeleti Osztály</w:t>
          </w:r>
        </w:p>
        <w:p w:rsidR="00CC606E" w:rsidRPr="00C27FD4" w:rsidRDefault="00CC606E" w:rsidP="009B3059">
          <w:pPr>
            <w:spacing w:after="0" w:line="240" w:lineRule="auto"/>
            <w:jc w:val="center"/>
            <w:rPr>
              <w:rFonts w:cs="Arial"/>
              <w:noProof/>
              <w:color w:val="FF0000"/>
              <w:spacing w:val="2"/>
              <w:sz w:val="16"/>
              <w:szCs w:val="16"/>
            </w:rPr>
          </w:pPr>
          <w:r w:rsidRPr="00C27FD4">
            <w:rPr>
              <w:rFonts w:cs="Arial"/>
              <w:noProof/>
              <w:color w:val="000000"/>
              <w:spacing w:val="2"/>
              <w:sz w:val="16"/>
              <w:szCs w:val="16"/>
            </w:rPr>
            <w:t xml:space="preserve">1124 Budapest, Németvölgyi út 37-39. – 1535 Budapest, BKKP Pf. 919/1 </w:t>
          </w:r>
          <w:bookmarkStart w:id="0" w:name="_GoBack"/>
          <w:bookmarkEnd w:id="0"/>
          <w:r w:rsidRPr="00C27FD4">
            <w:rPr>
              <w:rFonts w:cs="Arial"/>
              <w:noProof/>
              <w:color w:val="000000"/>
              <w:spacing w:val="2"/>
              <w:sz w:val="16"/>
              <w:szCs w:val="16"/>
            </w:rPr>
            <w:t xml:space="preserve"> – Telefon: +36 (1) 4585-800 – Fax: </w:t>
          </w:r>
          <w:r w:rsidRPr="00C27FD4">
            <w:rPr>
              <w:rFonts w:cs="Arial"/>
              <w:noProof/>
              <w:spacing w:val="2"/>
              <w:sz w:val="16"/>
              <w:szCs w:val="16"/>
            </w:rPr>
            <w:t>+36</w:t>
          </w:r>
          <w:r w:rsidRPr="00C27FD4">
            <w:rPr>
              <w:rFonts w:cs="Arial"/>
              <w:noProof/>
              <w:color w:val="FF0000"/>
              <w:spacing w:val="2"/>
              <w:sz w:val="16"/>
              <w:szCs w:val="16"/>
            </w:rPr>
            <w:t xml:space="preserve"> </w:t>
          </w:r>
          <w:r w:rsidRPr="00C27FD4">
            <w:rPr>
              <w:rFonts w:cs="Arial"/>
              <w:noProof/>
              <w:spacing w:val="2"/>
              <w:sz w:val="16"/>
              <w:szCs w:val="16"/>
            </w:rPr>
            <w:t xml:space="preserve">(1) </w:t>
          </w:r>
          <w:r w:rsidRPr="00C27FD4">
            <w:rPr>
              <w:rFonts w:cs="Arial"/>
              <w:noProof/>
              <w:color w:val="000000"/>
              <w:spacing w:val="2"/>
              <w:sz w:val="16"/>
              <w:szCs w:val="16"/>
            </w:rPr>
            <w:t xml:space="preserve">4585-847 </w:t>
          </w:r>
          <w:r w:rsidRPr="00C27FD4">
            <w:rPr>
              <w:rFonts w:cs="Arial"/>
              <w:noProof/>
              <w:color w:val="FF0000"/>
              <w:spacing w:val="2"/>
              <w:sz w:val="16"/>
              <w:szCs w:val="16"/>
            </w:rPr>
            <w:t xml:space="preserve"> </w:t>
          </w:r>
        </w:p>
        <w:p w:rsidR="00CC606E" w:rsidRPr="00C27FD4" w:rsidRDefault="00CC606E" w:rsidP="009B3059">
          <w:pPr>
            <w:spacing w:after="0" w:line="240" w:lineRule="auto"/>
            <w:jc w:val="center"/>
            <w:rPr>
              <w:rFonts w:ascii="H-Helvetica Thin" w:hAnsi="H-Helvetica Thin" w:cs="Arial"/>
              <w:szCs w:val="16"/>
            </w:rPr>
          </w:pPr>
          <w:r w:rsidRPr="00C27FD4">
            <w:rPr>
              <w:rFonts w:cs="Arial"/>
              <w:noProof/>
              <w:spacing w:val="2"/>
              <w:sz w:val="16"/>
              <w:szCs w:val="16"/>
            </w:rPr>
            <w:t xml:space="preserve">E-mail: </w:t>
          </w:r>
          <w:hyperlink r:id="rId2" w:history="1">
            <w:r w:rsidRPr="00C27FD4">
              <w:rPr>
                <w:rStyle w:val="Hiperhivatkozs"/>
                <w:rFonts w:cs="Arial"/>
                <w:noProof/>
                <w:spacing w:val="2"/>
                <w:sz w:val="16"/>
                <w:szCs w:val="16"/>
              </w:rPr>
              <w:t>idegenforgalmi@bfkh.gov.hu</w:t>
            </w:r>
          </w:hyperlink>
          <w:r w:rsidRPr="00C27FD4">
            <w:rPr>
              <w:rFonts w:cs="Arial"/>
              <w:noProof/>
              <w:spacing w:val="2"/>
              <w:sz w:val="16"/>
              <w:szCs w:val="16"/>
            </w:rPr>
            <w:t xml:space="preserve"> - </w:t>
          </w:r>
          <w:r w:rsidRPr="00C27FD4">
            <w:rPr>
              <w:rFonts w:cs="Arial"/>
              <w:noProof/>
              <w:color w:val="000000"/>
              <w:spacing w:val="2"/>
              <w:sz w:val="16"/>
              <w:szCs w:val="16"/>
            </w:rPr>
            <w:t xml:space="preserve">Honlap: </w:t>
          </w:r>
          <w:hyperlink r:id="rId3" w:history="1">
            <w:r w:rsidRPr="00C27FD4">
              <w:rPr>
                <w:rStyle w:val="Hiperhivatkozs"/>
                <w:rFonts w:cs="Arial"/>
                <w:noProof/>
                <w:spacing w:val="2"/>
                <w:sz w:val="16"/>
                <w:szCs w:val="16"/>
              </w:rPr>
              <w:t>www.kormanyhivatal.hu</w:t>
            </w:r>
          </w:hyperlink>
          <w:r w:rsidRPr="00C27FD4">
            <w:rPr>
              <w:rFonts w:cs="Calibri"/>
            </w:rPr>
            <w:t xml:space="preserve"> </w:t>
          </w:r>
          <w:hyperlink r:id="rId4" w:history="1">
            <w:r w:rsidRPr="00C27FD4">
              <w:rPr>
                <w:rStyle w:val="Hiperhivatkozs"/>
                <w:rFonts w:cs="Calibri"/>
                <w:sz w:val="16"/>
                <w:szCs w:val="16"/>
              </w:rPr>
              <w:t>www.mkeh.gov.hu</w:t>
            </w:r>
          </w:hyperlink>
        </w:p>
        <w:p w:rsidR="00CC606E" w:rsidRPr="00C27FD4" w:rsidRDefault="00CC606E" w:rsidP="009B3059">
          <w:pPr>
            <w:spacing w:after="0" w:line="240" w:lineRule="auto"/>
            <w:rPr>
              <w:rFonts w:ascii="H-Helvetica Thin" w:hAnsi="H-Helvetica Thin" w:cs="Arial"/>
              <w:color w:val="808080"/>
              <w:sz w:val="20"/>
              <w:szCs w:val="16"/>
            </w:rPr>
          </w:pPr>
        </w:p>
      </w:tc>
    </w:tr>
  </w:tbl>
  <w:p w:rsidR="00CC606E" w:rsidRDefault="00CC60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4E" w:rsidRDefault="0029524E" w:rsidP="00CC606E">
      <w:pPr>
        <w:spacing w:after="0" w:line="240" w:lineRule="auto"/>
      </w:pPr>
      <w:r>
        <w:separator/>
      </w:r>
    </w:p>
  </w:footnote>
  <w:footnote w:type="continuationSeparator" w:id="0">
    <w:p w:rsidR="0029524E" w:rsidRDefault="0029524E" w:rsidP="00CC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6E" w:rsidRDefault="00CC606E" w:rsidP="00111B4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011732" cy="1279103"/>
          <wp:effectExtent l="0" t="0" r="0" b="0"/>
          <wp:docPr id="4" name="Kép 1" descr="fejléc színes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éc színes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995" cy="1280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EE"/>
    <w:multiLevelType w:val="hybridMultilevel"/>
    <w:tmpl w:val="1B609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62D2"/>
    <w:multiLevelType w:val="hybridMultilevel"/>
    <w:tmpl w:val="C43CC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3361"/>
    <w:multiLevelType w:val="hybridMultilevel"/>
    <w:tmpl w:val="80C6C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D5D"/>
    <w:rsid w:val="00090FDD"/>
    <w:rsid w:val="00111B48"/>
    <w:rsid w:val="00225AE6"/>
    <w:rsid w:val="0029524E"/>
    <w:rsid w:val="003144B5"/>
    <w:rsid w:val="00332FDD"/>
    <w:rsid w:val="00380BFF"/>
    <w:rsid w:val="00393549"/>
    <w:rsid w:val="005C7EC2"/>
    <w:rsid w:val="006028A0"/>
    <w:rsid w:val="00681A32"/>
    <w:rsid w:val="007C0633"/>
    <w:rsid w:val="007C71F3"/>
    <w:rsid w:val="008B4AE1"/>
    <w:rsid w:val="00A41DC0"/>
    <w:rsid w:val="00A573E3"/>
    <w:rsid w:val="00B83CF6"/>
    <w:rsid w:val="00C80451"/>
    <w:rsid w:val="00CC606E"/>
    <w:rsid w:val="00CF3DF2"/>
    <w:rsid w:val="00D02D5D"/>
    <w:rsid w:val="00DF36DE"/>
    <w:rsid w:val="00E162D4"/>
    <w:rsid w:val="00E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F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F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62D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C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606E"/>
  </w:style>
  <w:style w:type="paragraph" w:styleId="llb">
    <w:name w:val="footer"/>
    <w:basedOn w:val="Norml"/>
    <w:link w:val="llbChar"/>
    <w:uiPriority w:val="99"/>
    <w:semiHidden/>
    <w:unhideWhenUsed/>
    <w:rsid w:val="00CC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606E"/>
  </w:style>
  <w:style w:type="paragraph" w:styleId="Buborkszveg">
    <w:name w:val="Balloon Text"/>
    <w:basedOn w:val="Norml"/>
    <w:link w:val="BuborkszvegChar"/>
    <w:uiPriority w:val="99"/>
    <w:semiHidden/>
    <w:unhideWhenUsed/>
    <w:rsid w:val="00CC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keh.gov.hu/eljarasidi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manyhivatal.hu" TargetMode="External"/><Relationship Id="rId2" Type="http://schemas.openxmlformats.org/officeDocument/2006/relationships/hyperlink" Target="mailto:idegenforgalmi@bfkh.gov.h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keh.gov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manyhivatal.hu" TargetMode="External"/><Relationship Id="rId2" Type="http://schemas.openxmlformats.org/officeDocument/2006/relationships/hyperlink" Target="mailto:idegenforgalmi@bfkh.gov.h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ke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737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bekesi001</dc:creator>
  <cp:lastModifiedBy>bekesi001</cp:lastModifiedBy>
  <cp:revision>4</cp:revision>
  <dcterms:created xsi:type="dcterms:W3CDTF">2018-10-03T07:58:00Z</dcterms:created>
  <dcterms:modified xsi:type="dcterms:W3CDTF">2018-10-08T06:24:00Z</dcterms:modified>
</cp:coreProperties>
</file>